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378A9585" w14:textId="1F346CB7" w:rsidR="00F94675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C724B5" w:rsidRPr="00C724B5">
        <w:rPr>
          <w:b/>
          <w:sz w:val="24"/>
        </w:rPr>
        <w:t>06.06.01 «Биологические науки»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7C7761CB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8C43FD" w:rsidRPr="008C43FD">
        <w:rPr>
          <w:b/>
          <w:sz w:val="24"/>
        </w:rPr>
        <w:t>03.02.08 «Экология»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7657472C" w14:textId="77777777" w:rsidR="00C724B5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4311" w:history="1">
            <w:r w:rsidR="00C724B5" w:rsidRPr="00B277F6">
              <w:rPr>
                <w:rStyle w:val="af5"/>
                <w:noProof/>
              </w:rPr>
              <w:t>Б1.В.ОД.1 «Экология»</w:t>
            </w:r>
            <w:r w:rsidR="00C724B5">
              <w:rPr>
                <w:noProof/>
                <w:webHidden/>
              </w:rPr>
              <w:tab/>
            </w:r>
            <w:r w:rsidR="00C724B5">
              <w:rPr>
                <w:noProof/>
                <w:webHidden/>
              </w:rPr>
              <w:fldChar w:fldCharType="begin"/>
            </w:r>
            <w:r w:rsidR="00C724B5">
              <w:rPr>
                <w:noProof/>
                <w:webHidden/>
              </w:rPr>
              <w:instrText xml:space="preserve"> PAGEREF _Toc481584311 \h </w:instrText>
            </w:r>
            <w:r w:rsidR="00C724B5">
              <w:rPr>
                <w:noProof/>
                <w:webHidden/>
              </w:rPr>
            </w:r>
            <w:r w:rsidR="00C724B5">
              <w:rPr>
                <w:noProof/>
                <w:webHidden/>
              </w:rPr>
              <w:fldChar w:fldCharType="separate"/>
            </w:r>
            <w:r w:rsidR="00C724B5">
              <w:rPr>
                <w:noProof/>
                <w:webHidden/>
              </w:rPr>
              <w:t>1</w:t>
            </w:r>
            <w:r w:rsidR="00C724B5">
              <w:rPr>
                <w:noProof/>
                <w:webHidden/>
              </w:rPr>
              <w:fldChar w:fldCharType="end"/>
            </w:r>
          </w:hyperlink>
        </w:p>
        <w:p w14:paraId="0D52558E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2" w:history="1">
            <w:r w:rsidRPr="00B277F6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8D1B9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3" w:history="1">
            <w:r w:rsidRPr="00B277F6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27555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4" w:history="1">
            <w:r w:rsidRPr="00B277F6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1087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5" w:history="1">
            <w:r w:rsidRPr="00B277F6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2CBEE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6" w:history="1">
            <w:r w:rsidRPr="00B277F6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64ED6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7" w:history="1">
            <w:r w:rsidRPr="00B277F6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B5ECD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8" w:history="1">
            <w:r w:rsidRPr="00B277F6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0D05D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19" w:history="1">
            <w:r w:rsidRPr="00B277F6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65D3A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20" w:history="1">
            <w:r w:rsidRPr="00B277F6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31A98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21" w:history="1">
            <w:r w:rsidRPr="00B277F6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FE641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22" w:history="1">
            <w:r w:rsidRPr="00B277F6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10575" w14:textId="77777777" w:rsidR="00C724B5" w:rsidRDefault="00C724B5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323" w:history="1">
            <w:r w:rsidRPr="00B277F6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75545551" w:rsidR="008C484A" w:rsidRPr="00194E92" w:rsidRDefault="008C484A" w:rsidP="009D4855">
      <w:pPr>
        <w:pStyle w:val="20"/>
      </w:pPr>
      <w:bookmarkStart w:id="0" w:name="_Toc481584311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«Экология»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  <w:bookmarkStart w:id="1" w:name="_GoBack"/>
      <w:bookmarkEnd w:id="1"/>
    </w:p>
    <w:p w14:paraId="654D10FD" w14:textId="4B97CEC0" w:rsidR="00E5340F" w:rsidRPr="008C43FD" w:rsidRDefault="008C43FD" w:rsidP="008C43FD">
      <w:pPr>
        <w:rPr>
          <w:szCs w:val="28"/>
        </w:rPr>
      </w:pPr>
      <w:r w:rsidRPr="00C9518B">
        <w:rPr>
          <w:snapToGrid w:val="0"/>
          <w:szCs w:val="28"/>
          <w:lang w:eastAsia="ru-RU"/>
        </w:rPr>
        <w:t xml:space="preserve">Изучение </w:t>
      </w:r>
      <w:r w:rsidRPr="00C9518B">
        <w:rPr>
          <w:iCs/>
          <w:snapToGrid w:val="0"/>
          <w:szCs w:val="28"/>
          <w:lang w:eastAsia="ru-RU"/>
        </w:rPr>
        <w:t xml:space="preserve">закономерностей пространственного и динамического </w:t>
      </w:r>
      <w:r w:rsidRPr="00C9518B">
        <w:rPr>
          <w:snapToGrid w:val="0"/>
          <w:szCs w:val="28"/>
          <w:lang w:eastAsia="ru-RU"/>
        </w:rPr>
        <w:t xml:space="preserve">формирований экосистемных связей компонентов лесных экосистем, </w:t>
      </w:r>
      <w:r w:rsidRPr="00C9518B">
        <w:rPr>
          <w:szCs w:val="28"/>
        </w:rPr>
        <w:t xml:space="preserve">качественных и количественных </w:t>
      </w:r>
      <w:r w:rsidRPr="00C9518B">
        <w:rPr>
          <w:snapToGrid w:val="0"/>
          <w:szCs w:val="28"/>
          <w:lang w:eastAsia="ru-RU"/>
        </w:rPr>
        <w:t>методов их оценки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394FC578" w14:textId="77777777" w:rsidR="008C43FD" w:rsidRPr="00B73CDE" w:rsidRDefault="008C43FD" w:rsidP="008C43FD"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Экология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аспирант должен приобрести следующие:</w:t>
      </w:r>
    </w:p>
    <w:p w14:paraId="106ECAC8" w14:textId="77777777" w:rsidR="00C724B5" w:rsidRPr="003761CF" w:rsidRDefault="00C724B5" w:rsidP="00C724B5">
      <w:r w:rsidRPr="003761CF">
        <w:t>универсальные компетенции (УК):</w:t>
      </w:r>
    </w:p>
    <w:p w14:paraId="056627D6" w14:textId="77777777" w:rsidR="00C724B5" w:rsidRPr="006A40F7" w:rsidRDefault="00C724B5" w:rsidP="00C724B5">
      <w:pPr>
        <w:pStyle w:val="-1"/>
      </w:pPr>
      <w:r w:rsidRPr="000862FA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B12F3AA" w14:textId="77777777" w:rsidR="00C724B5" w:rsidRPr="003761CF" w:rsidRDefault="00C724B5" w:rsidP="00C724B5">
      <w:r w:rsidRPr="003761CF">
        <w:t>общепрофессиональные компетенции (ОПК):</w:t>
      </w:r>
    </w:p>
    <w:p w14:paraId="611AA011" w14:textId="77777777" w:rsidR="00C724B5" w:rsidRPr="000862FA" w:rsidRDefault="00C724B5" w:rsidP="00C724B5">
      <w:pPr>
        <w:pStyle w:val="-1"/>
      </w:pPr>
      <w:r w:rsidRPr="000862FA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57B87D0" w14:textId="77777777" w:rsidR="00C724B5" w:rsidRPr="003761CF" w:rsidRDefault="00C724B5" w:rsidP="00C724B5">
      <w:r w:rsidRPr="003761CF">
        <w:t>профессиональные компетенции (ПК):</w:t>
      </w:r>
    </w:p>
    <w:p w14:paraId="31524DA9" w14:textId="1D364CA6" w:rsidR="00E6283F" w:rsidRPr="008C43FD" w:rsidRDefault="00C724B5" w:rsidP="00C724B5">
      <w:pPr>
        <w:pStyle w:val="-1"/>
      </w:pPr>
      <w:r w:rsidRPr="00C07119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</w:t>
      </w:r>
      <w:r>
        <w:t xml:space="preserve"> (ПК-1)</w:t>
      </w:r>
      <w:r w:rsidR="00F254E3" w:rsidRPr="00C724B5">
        <w:rPr>
          <w:szCs w:val="22"/>
          <w:lang w:val="ru-RU"/>
        </w:rPr>
        <w:t>.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0EEA589F" w14:textId="280DA30F" w:rsidR="008C43FD" w:rsidRPr="00C07119" w:rsidRDefault="008C43FD" w:rsidP="008C43FD">
      <w:pPr>
        <w:pStyle w:val="-1"/>
        <w:spacing w:after="120" w:line="276" w:lineRule="auto"/>
      </w:pPr>
      <w:r w:rsidRPr="00C07119">
        <w:t>развитие логического мышления, выявление функциональных знаний в биологических системах</w:t>
      </w:r>
      <w:r>
        <w:rPr>
          <w:lang w:val="ru-RU"/>
        </w:rPr>
        <w:t>;</w:t>
      </w:r>
      <w:r w:rsidRPr="00C07119">
        <w:t xml:space="preserve"> </w:t>
      </w:r>
    </w:p>
    <w:p w14:paraId="4F569138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t>знание содержания, форм</w:t>
      </w:r>
      <w:r w:rsidRPr="00C07119">
        <w:rPr>
          <w:lang w:val="ru-RU"/>
        </w:rPr>
        <w:t>,</w:t>
      </w:r>
      <w:r w:rsidRPr="00C07119">
        <w:t xml:space="preserve"> методов и средств научно-исследовательской деятельности;</w:t>
      </w:r>
    </w:p>
    <w:p w14:paraId="470DF9CB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t xml:space="preserve"> знания закономерностей формирования и функционирования лесных формаций</w:t>
      </w:r>
    </w:p>
    <w:p w14:paraId="7E34C286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rPr>
          <w:lang w:val="ru-RU"/>
        </w:rPr>
        <w:t xml:space="preserve">умение </w:t>
      </w:r>
      <w:r w:rsidRPr="00C07119">
        <w:t>владе</w:t>
      </w:r>
      <w:r w:rsidRPr="00C07119">
        <w:rPr>
          <w:lang w:val="ru-RU"/>
        </w:rPr>
        <w:t>ть</w:t>
      </w:r>
      <w:r w:rsidRPr="00C07119">
        <w:t xml:space="preserve"> методикой планирования научно-исследовательской деятельности;</w:t>
      </w:r>
    </w:p>
    <w:p w14:paraId="2B89C7E6" w14:textId="6A018794" w:rsidR="00A974FE" w:rsidRPr="008C43FD" w:rsidRDefault="008C43FD" w:rsidP="008C43FD">
      <w:pPr>
        <w:pStyle w:val="-1"/>
        <w:spacing w:after="120" w:line="276" w:lineRule="auto"/>
      </w:pPr>
      <w:r>
        <w:rPr>
          <w:lang w:val="ru-RU"/>
        </w:rPr>
        <w:t>навыки</w:t>
      </w:r>
      <w:r w:rsidRPr="00DB3F1A">
        <w:t xml:space="preserve"> решения </w:t>
      </w:r>
      <w:r>
        <w:rPr>
          <w:lang w:val="ru-RU"/>
        </w:rPr>
        <w:t>практических</w:t>
      </w:r>
      <w:r w:rsidRPr="00DB3F1A">
        <w:t xml:space="preserve"> задач в област</w:t>
      </w:r>
      <w:r>
        <w:rPr>
          <w:lang w:val="ru-RU"/>
        </w:rPr>
        <w:t>и экологии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lastRenderedPageBreak/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2B2779F8" w14:textId="77777777" w:rsidR="008C43FD" w:rsidRDefault="008C43FD" w:rsidP="008C43FD">
      <w:pPr>
        <w:pStyle w:val="aa"/>
      </w:pPr>
      <w:r>
        <w:t>Экология как наука</w:t>
      </w:r>
    </w:p>
    <w:p w14:paraId="247EDD36" w14:textId="77777777" w:rsidR="008C43FD" w:rsidRDefault="008C43FD" w:rsidP="008C43FD">
      <w:pPr>
        <w:pStyle w:val="aa"/>
      </w:pPr>
      <w:r>
        <w:t>Климатические факторы.</w:t>
      </w:r>
    </w:p>
    <w:p w14:paraId="31F92A59" w14:textId="77777777" w:rsidR="008C43FD" w:rsidRDefault="008C43FD" w:rsidP="008C43FD">
      <w:pPr>
        <w:pStyle w:val="aa"/>
      </w:pPr>
      <w:r>
        <w:t>Геоморфологические, почвенные факторы.</w:t>
      </w:r>
    </w:p>
    <w:p w14:paraId="3EDA67FB" w14:textId="77777777" w:rsidR="008C43FD" w:rsidRDefault="008C43FD" w:rsidP="008C43FD">
      <w:pPr>
        <w:pStyle w:val="aa"/>
      </w:pPr>
      <w:r>
        <w:t>Биотические факторы.</w:t>
      </w:r>
    </w:p>
    <w:p w14:paraId="5BD3E53E" w14:textId="77777777" w:rsidR="008C43FD" w:rsidRDefault="008C43FD" w:rsidP="008C43FD">
      <w:pPr>
        <w:pStyle w:val="aa"/>
      </w:pPr>
      <w:r>
        <w:t>Экологические особенности растений.</w:t>
      </w:r>
    </w:p>
    <w:p w14:paraId="6B0E6C4A" w14:textId="77777777" w:rsidR="008C43FD" w:rsidRDefault="008C43FD" w:rsidP="008C43FD">
      <w:pPr>
        <w:pStyle w:val="aa"/>
      </w:pPr>
      <w:r>
        <w:t>Экологические особенности животных.</w:t>
      </w:r>
    </w:p>
    <w:p w14:paraId="235D3AE3" w14:textId="77777777" w:rsidR="008C43FD" w:rsidRDefault="008C43FD" w:rsidP="008C43FD">
      <w:pPr>
        <w:pStyle w:val="aa"/>
      </w:pPr>
      <w:r>
        <w:t>Популяционная экология</w:t>
      </w:r>
    </w:p>
    <w:p w14:paraId="4AA8CE70" w14:textId="77777777" w:rsidR="008C43FD" w:rsidRDefault="008C43FD" w:rsidP="008C43FD">
      <w:pPr>
        <w:pStyle w:val="aa"/>
      </w:pPr>
      <w:r>
        <w:t>Экология сообществ</w:t>
      </w:r>
    </w:p>
    <w:p w14:paraId="49046C76" w14:textId="77777777" w:rsidR="008C43FD" w:rsidRDefault="008C43FD" w:rsidP="008C43FD">
      <w:pPr>
        <w:pStyle w:val="aa"/>
      </w:pPr>
      <w:r>
        <w:t>Сукцессионные серии лесных формаций.</w:t>
      </w:r>
    </w:p>
    <w:p w14:paraId="49C1D989" w14:textId="77777777" w:rsidR="008C43FD" w:rsidRDefault="008C43FD" w:rsidP="008C43FD">
      <w:pPr>
        <w:pStyle w:val="aa"/>
      </w:pPr>
      <w:r>
        <w:t>Динамика численности организмов</w:t>
      </w:r>
    </w:p>
    <w:p w14:paraId="4575D2F7" w14:textId="2CC3417A" w:rsidR="00F254E3" w:rsidRDefault="008C43FD" w:rsidP="008C43FD">
      <w:pPr>
        <w:pStyle w:val="aa"/>
      </w:pPr>
      <w:r>
        <w:t>Этногенез</w:t>
      </w:r>
      <w:r w:rsidR="00F254E3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4312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4313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4314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4315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4316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4317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4318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4319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4320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4321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4322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4323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72EB" w14:textId="77777777" w:rsidR="00321105" w:rsidRDefault="00321105" w:rsidP="00BE6A32">
      <w:r>
        <w:separator/>
      </w:r>
    </w:p>
  </w:endnote>
  <w:endnote w:type="continuationSeparator" w:id="0">
    <w:p w14:paraId="1E54F5A2" w14:textId="77777777" w:rsidR="00321105" w:rsidRDefault="00321105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21105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160E" w14:textId="77777777" w:rsidR="00321105" w:rsidRDefault="00321105" w:rsidP="00BE6A32">
      <w:r>
        <w:separator/>
      </w:r>
    </w:p>
  </w:footnote>
  <w:footnote w:type="continuationSeparator" w:id="0">
    <w:p w14:paraId="59CC9D90" w14:textId="77777777" w:rsidR="00321105" w:rsidRDefault="00321105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36728"/>
    <w:rsid w:val="002A4BF0"/>
    <w:rsid w:val="002B1D2E"/>
    <w:rsid w:val="002D0789"/>
    <w:rsid w:val="002D4700"/>
    <w:rsid w:val="00310E8B"/>
    <w:rsid w:val="00321105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D1B7F"/>
    <w:rsid w:val="00565E4E"/>
    <w:rsid w:val="00574FA6"/>
    <w:rsid w:val="00575B5C"/>
    <w:rsid w:val="005C56B7"/>
    <w:rsid w:val="00616CC7"/>
    <w:rsid w:val="006C2EDE"/>
    <w:rsid w:val="006C7D3E"/>
    <w:rsid w:val="00747C66"/>
    <w:rsid w:val="00750D32"/>
    <w:rsid w:val="0075312D"/>
    <w:rsid w:val="00764E08"/>
    <w:rsid w:val="00775781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3EC39-B898-4238-913B-5D0FCC6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6286</Words>
  <Characters>35835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«Экология»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2017-05-03T07:15:00Z</dcterms:created>
  <dcterms:modified xsi:type="dcterms:W3CDTF">2017-05-03T07:16:00Z</dcterms:modified>
</cp:coreProperties>
</file>