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378A9585" w14:textId="7750D683" w:rsidR="00F94675" w:rsidRDefault="008C484A" w:rsidP="004B1A2B">
      <w:pPr>
        <w:ind w:left="2977" w:hanging="2977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4B1A2B" w:rsidRPr="004B1A2B">
        <w:rPr>
          <w:b/>
          <w:sz w:val="24"/>
        </w:rPr>
        <w:t xml:space="preserve">12.06.01 </w:t>
      </w:r>
      <w:r w:rsidR="004B1A2B">
        <w:rPr>
          <w:b/>
          <w:sz w:val="24"/>
        </w:rPr>
        <w:t>«</w:t>
      </w:r>
      <w:r w:rsidR="004B1A2B" w:rsidRPr="004B1A2B">
        <w:rPr>
          <w:b/>
          <w:sz w:val="24"/>
        </w:rPr>
        <w:t>Фотоника, приборостроение, оптические и биотехнические системы и технологии</w:t>
      </w:r>
      <w:r w:rsidR="004B1A2B">
        <w:rPr>
          <w:b/>
          <w:sz w:val="24"/>
        </w:rPr>
        <w:t>»</w:t>
      </w:r>
    </w:p>
    <w:p w14:paraId="393B68EB" w14:textId="77777777" w:rsidR="00C724B5" w:rsidRPr="00C724B5" w:rsidRDefault="00C724B5" w:rsidP="003A1CD7">
      <w:pPr>
        <w:ind w:firstLine="0"/>
        <w:rPr>
          <w:b/>
          <w:sz w:val="16"/>
        </w:rPr>
      </w:pPr>
    </w:p>
    <w:p w14:paraId="6753B98B" w14:textId="3230D9F2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4B1A2B" w:rsidRPr="004B1A2B">
        <w:rPr>
          <w:b/>
          <w:sz w:val="24"/>
        </w:rPr>
        <w:t xml:space="preserve">05.11.13 </w:t>
      </w:r>
      <w:r w:rsidR="004B1A2B">
        <w:rPr>
          <w:b/>
          <w:sz w:val="24"/>
        </w:rPr>
        <w:t>«</w:t>
      </w:r>
      <w:r w:rsidR="004B1A2B" w:rsidRPr="004B1A2B">
        <w:rPr>
          <w:b/>
          <w:sz w:val="24"/>
        </w:rPr>
        <w:t>Приборы и методы контроля природной среды, веществ, материалов и изделий</w:t>
      </w:r>
      <w:r w:rsidR="004B1A2B">
        <w:rPr>
          <w:b/>
          <w:sz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d"/>
            <w:rPr>
              <w:sz w:val="6"/>
              <w:lang w:val="en-US"/>
            </w:rPr>
          </w:pPr>
        </w:p>
        <w:p w14:paraId="35C6BBC8" w14:textId="77777777" w:rsidR="004B1A2B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584515" w:history="1">
            <w:r w:rsidR="004B1A2B" w:rsidRPr="00BF3A36">
              <w:rPr>
                <w:rStyle w:val="af5"/>
                <w:noProof/>
              </w:rPr>
              <w:t>Б1.В.ОД.1 «Приборы и методы контроля природной среды, веществ, материалов и изделий»</w:t>
            </w:r>
            <w:r w:rsidR="004B1A2B">
              <w:rPr>
                <w:noProof/>
                <w:webHidden/>
              </w:rPr>
              <w:tab/>
            </w:r>
            <w:r w:rsidR="004B1A2B">
              <w:rPr>
                <w:noProof/>
                <w:webHidden/>
              </w:rPr>
              <w:fldChar w:fldCharType="begin"/>
            </w:r>
            <w:r w:rsidR="004B1A2B">
              <w:rPr>
                <w:noProof/>
                <w:webHidden/>
              </w:rPr>
              <w:instrText xml:space="preserve"> PAGEREF _Toc481584515 \h </w:instrText>
            </w:r>
            <w:r w:rsidR="004B1A2B">
              <w:rPr>
                <w:noProof/>
                <w:webHidden/>
              </w:rPr>
            </w:r>
            <w:r w:rsidR="004B1A2B">
              <w:rPr>
                <w:noProof/>
                <w:webHidden/>
              </w:rPr>
              <w:fldChar w:fldCharType="separate"/>
            </w:r>
            <w:r w:rsidR="004B1A2B">
              <w:rPr>
                <w:noProof/>
                <w:webHidden/>
              </w:rPr>
              <w:t>1</w:t>
            </w:r>
            <w:r w:rsidR="004B1A2B">
              <w:rPr>
                <w:noProof/>
                <w:webHidden/>
              </w:rPr>
              <w:fldChar w:fldCharType="end"/>
            </w:r>
          </w:hyperlink>
        </w:p>
        <w:p w14:paraId="241EB150" w14:textId="77777777" w:rsidR="004B1A2B" w:rsidRDefault="004B1A2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516" w:history="1">
            <w:r w:rsidRPr="00BF3A36">
              <w:rPr>
                <w:rStyle w:val="af5"/>
                <w:noProof/>
              </w:rPr>
              <w:t>Б1.Б.1 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512BE" w14:textId="77777777" w:rsidR="004B1A2B" w:rsidRDefault="004B1A2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517" w:history="1">
            <w:r w:rsidRPr="00BF3A36">
              <w:rPr>
                <w:rStyle w:val="af5"/>
                <w:noProof/>
              </w:rPr>
              <w:t>Б1.Б.2. «История и философия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CE435" w14:textId="77777777" w:rsidR="004B1A2B" w:rsidRDefault="004B1A2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518" w:history="1">
            <w:r w:rsidRPr="00BF3A36">
              <w:rPr>
                <w:rStyle w:val="af5"/>
                <w:noProof/>
              </w:rPr>
              <w:t>Б1.В.ДВ.1.1 «Иностранная научная речь в узкой специальности»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B8F49" w14:textId="77777777" w:rsidR="004B1A2B" w:rsidRDefault="004B1A2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519" w:history="1">
            <w:r w:rsidRPr="00BF3A36">
              <w:rPr>
                <w:rStyle w:val="af5"/>
                <w:noProof/>
              </w:rPr>
              <w:t>Б1.В.ДВ.1.2 «Информационно-коммуникационные технологии в научных исследованиях»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4A8AE" w14:textId="77777777" w:rsidR="004B1A2B" w:rsidRDefault="004B1A2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520" w:history="1">
            <w:r w:rsidRPr="00BF3A36">
              <w:rPr>
                <w:rStyle w:val="af5"/>
                <w:noProof/>
              </w:rPr>
              <w:t>Б1.В.ОД.2 Педагогика высшей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7E7CA" w14:textId="77777777" w:rsidR="004B1A2B" w:rsidRDefault="004B1A2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521" w:history="1">
            <w:r w:rsidRPr="00BF3A36">
              <w:rPr>
                <w:rStyle w:val="af5"/>
                <w:noProof/>
              </w:rPr>
              <w:t>Б1.В.ОД.3 Методика написания диссертации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3FC4A" w14:textId="77777777" w:rsidR="004B1A2B" w:rsidRDefault="004B1A2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522" w:history="1">
            <w:r w:rsidRPr="00BF3A36">
              <w:rPr>
                <w:rStyle w:val="af5"/>
                <w:noProof/>
              </w:rPr>
              <w:t>Б1.В.ОД.4 «Психология высшей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25670" w14:textId="77777777" w:rsidR="004B1A2B" w:rsidRDefault="004B1A2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523" w:history="1">
            <w:r w:rsidRPr="00BF3A36">
              <w:rPr>
                <w:rStyle w:val="af5"/>
                <w:noProof/>
              </w:rPr>
              <w:t>Б2.1 Педагогическая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AB8F7" w14:textId="77777777" w:rsidR="004B1A2B" w:rsidRDefault="004B1A2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524" w:history="1">
            <w:r w:rsidRPr="00BF3A36">
              <w:rPr>
                <w:rStyle w:val="af5"/>
                <w:noProof/>
              </w:rPr>
              <w:t>Б2.2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6B101" w14:textId="77777777" w:rsidR="004B1A2B" w:rsidRDefault="004B1A2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525" w:history="1">
            <w:r w:rsidRPr="00BF3A36">
              <w:rPr>
                <w:rStyle w:val="af5"/>
                <w:noProof/>
              </w:rPr>
              <w:t>Б3 Научные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11B99" w14:textId="77777777" w:rsidR="004B1A2B" w:rsidRDefault="004B1A2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526" w:history="1">
            <w:r w:rsidRPr="00BF3A36">
              <w:rPr>
                <w:rStyle w:val="af5"/>
                <w:noProof/>
              </w:rPr>
              <w:t>Б4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CAB2D" w14:textId="77777777" w:rsidR="004B1A2B" w:rsidRDefault="004B1A2B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527" w:history="1">
            <w:r w:rsidRPr="00BF3A36">
              <w:rPr>
                <w:rStyle w:val="af5"/>
                <w:noProof/>
              </w:rPr>
              <w:t>ФТД.1 «Моделирование и статистическая обработка результатов исследований»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6E85CCA6" w:rsidR="008C484A" w:rsidRPr="00194E92" w:rsidRDefault="008C484A" w:rsidP="009D4855">
      <w:pPr>
        <w:pStyle w:val="20"/>
      </w:pPr>
      <w:bookmarkStart w:id="0" w:name="_Toc481584515"/>
      <w:r w:rsidRPr="009D4855">
        <w:t>Б1.В.ОД</w:t>
      </w:r>
      <w:r w:rsidR="00764E08">
        <w:t>.1</w:t>
      </w:r>
      <w:r w:rsidR="00764E08" w:rsidRPr="00764E08">
        <w:t xml:space="preserve"> </w:t>
      </w:r>
      <w:r w:rsidR="008C43FD" w:rsidRPr="008C43FD">
        <w:t>«</w:t>
      </w:r>
      <w:r w:rsidR="004B1A2B" w:rsidRPr="004B1A2B">
        <w:t>Приборы и методы контроля природной среды, веществ, материалов и изделий</w:t>
      </w:r>
      <w:r w:rsidR="008C43FD" w:rsidRPr="008C43FD">
        <w:t>»</w:t>
      </w:r>
      <w:bookmarkEnd w:id="0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</w:p>
    <w:p w14:paraId="654D10FD" w14:textId="0C1F7AFE" w:rsidR="00E5340F" w:rsidRPr="008C43FD" w:rsidRDefault="004B1A2B" w:rsidP="008C43FD">
      <w:pPr>
        <w:rPr>
          <w:szCs w:val="28"/>
        </w:rPr>
      </w:pPr>
      <w:r w:rsidRPr="00BE09DB">
        <w:rPr>
          <w:szCs w:val="24"/>
        </w:rPr>
        <w:t>Углубленное изучение методологических и теоретических основ данной дисциплины; содействовать развитию профессиональной компетентности аспиранта в области научно-исследовательской деятельности; способствовать освоению теоретических знаний и практических умений, необходимых для осуществления инновационно-практической деятельности</w:t>
      </w:r>
      <w:r w:rsidR="00775781">
        <w:t>.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  <w:bookmarkStart w:id="1" w:name="_GoBack"/>
      <w:bookmarkEnd w:id="1"/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74C65532" w14:textId="77777777" w:rsidR="004B1A2B" w:rsidRPr="00B73CDE" w:rsidRDefault="004B1A2B" w:rsidP="004B1A2B">
      <w:r w:rsidRPr="00B73CDE">
        <w:t xml:space="preserve">В результате изучения дисциплины </w:t>
      </w:r>
      <w:r w:rsidRPr="003E07DA">
        <w:rPr>
          <w:szCs w:val="24"/>
        </w:rPr>
        <w:t>Б1.В.ОД.1 «</w:t>
      </w:r>
      <w:r>
        <w:t>Приборы и методы контроля природной среды, веществ, материалов и изделий</w:t>
      </w:r>
      <w:r w:rsidRPr="003E07DA">
        <w:rPr>
          <w:szCs w:val="24"/>
        </w:rPr>
        <w:t>»</w:t>
      </w:r>
      <w:r>
        <w:rPr>
          <w:szCs w:val="24"/>
        </w:rPr>
        <w:t xml:space="preserve"> </w:t>
      </w:r>
      <w:r w:rsidRPr="00B73CDE">
        <w:t>в соответствии с целями образовательной программы аспирант должен приобрести следующие:</w:t>
      </w:r>
    </w:p>
    <w:p w14:paraId="77BF43A4" w14:textId="77777777" w:rsidR="004B1A2B" w:rsidRPr="003761CF" w:rsidRDefault="004B1A2B" w:rsidP="004B1A2B">
      <w:r w:rsidRPr="003761CF">
        <w:t>универсальные компетенции (УК):</w:t>
      </w:r>
    </w:p>
    <w:p w14:paraId="7F92DABE" w14:textId="77777777" w:rsidR="004B1A2B" w:rsidRPr="0041497E" w:rsidRDefault="004B1A2B" w:rsidP="004B1A2B">
      <w:pPr>
        <w:pStyle w:val="-1"/>
        <w:spacing w:line="276" w:lineRule="auto"/>
      </w:pPr>
      <w:r w:rsidRPr="0041497E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3FDEA814" w14:textId="77777777" w:rsidR="004B1A2B" w:rsidRPr="003761CF" w:rsidRDefault="004B1A2B" w:rsidP="004B1A2B">
      <w:r w:rsidRPr="003761CF">
        <w:t>общепрофессиональные компетенции (ОПК):</w:t>
      </w:r>
    </w:p>
    <w:p w14:paraId="5BE2E73F" w14:textId="77777777" w:rsidR="004B1A2B" w:rsidRPr="001A0290" w:rsidRDefault="004B1A2B" w:rsidP="004B1A2B">
      <w:pPr>
        <w:pStyle w:val="-1"/>
        <w:spacing w:line="276" w:lineRule="auto"/>
      </w:pPr>
      <w:r w:rsidRPr="001A0290">
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 (ОПК-3);</w:t>
      </w:r>
    </w:p>
    <w:p w14:paraId="2ACE4FE1" w14:textId="77777777" w:rsidR="004B1A2B" w:rsidRPr="003761CF" w:rsidRDefault="004B1A2B" w:rsidP="004B1A2B">
      <w:r w:rsidRPr="003761CF">
        <w:t>профессиональные компетенции (ПК):</w:t>
      </w:r>
    </w:p>
    <w:p w14:paraId="31524DA9" w14:textId="3D2B69C1" w:rsidR="00E6283F" w:rsidRPr="008C43FD" w:rsidRDefault="004B1A2B" w:rsidP="004B1A2B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профессиональные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="00F254E3" w:rsidRPr="00C724B5">
        <w:rPr>
          <w:szCs w:val="22"/>
          <w:lang w:val="ru-RU"/>
        </w:rPr>
        <w:t>.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0EEA589F" w14:textId="280DA30F" w:rsidR="008C43FD" w:rsidRPr="00C07119" w:rsidRDefault="008C43FD" w:rsidP="008C43FD">
      <w:pPr>
        <w:pStyle w:val="-1"/>
        <w:spacing w:after="120" w:line="276" w:lineRule="auto"/>
      </w:pPr>
      <w:r w:rsidRPr="00C07119">
        <w:t>развитие логического мышления, выявление функциональных знаний в биологических системах</w:t>
      </w:r>
      <w:r>
        <w:rPr>
          <w:lang w:val="ru-RU"/>
        </w:rPr>
        <w:t>;</w:t>
      </w:r>
      <w:r w:rsidRPr="00C07119">
        <w:t xml:space="preserve"> </w:t>
      </w:r>
    </w:p>
    <w:p w14:paraId="415EC5D8" w14:textId="77777777" w:rsidR="004B1A2B" w:rsidRPr="003F186D" w:rsidRDefault="004B1A2B" w:rsidP="004B1A2B">
      <w:pPr>
        <w:pStyle w:val="-1"/>
        <w:spacing w:after="120" w:line="276" w:lineRule="auto"/>
      </w:pPr>
      <w:r w:rsidRPr="003F186D">
        <w:lastRenderedPageBreak/>
        <w:t>знание содержания, форм методов и средств научно-исследовательской деятельности;</w:t>
      </w:r>
    </w:p>
    <w:p w14:paraId="6BD8C269" w14:textId="77777777" w:rsidR="004B1A2B" w:rsidRPr="003F186D" w:rsidRDefault="004B1A2B" w:rsidP="004B1A2B">
      <w:pPr>
        <w:pStyle w:val="-1"/>
        <w:spacing w:after="120" w:line="276" w:lineRule="auto"/>
      </w:pPr>
      <w:r w:rsidRPr="003F186D">
        <w:t>владение методикой планирования научно-исследовательской деятельности;</w:t>
      </w:r>
    </w:p>
    <w:p w14:paraId="2B89C7E6" w14:textId="75A73944" w:rsidR="00A974FE" w:rsidRPr="008C43FD" w:rsidRDefault="004B1A2B" w:rsidP="004B1A2B">
      <w:pPr>
        <w:pStyle w:val="-1"/>
        <w:spacing w:after="120" w:line="276" w:lineRule="auto"/>
      </w:pPr>
      <w:r w:rsidRPr="007159E9">
        <w:t>знание технологий решения типовых задач в различных областях практик</w:t>
      </w:r>
      <w:r w:rsidR="00A974FE" w:rsidRPr="008C43FD">
        <w:rPr>
          <w:lang w:val="ru-RU"/>
        </w:rPr>
        <w:t>.</w:t>
      </w:r>
    </w:p>
    <w:p w14:paraId="30F664A3" w14:textId="5FC69DE4" w:rsidR="00E6283F" w:rsidRDefault="00E6283F" w:rsidP="00A974FE">
      <w:pPr>
        <w:pStyle w:val="-12"/>
        <w:spacing w:before="120" w:after="0" w:line="276" w:lineRule="auto"/>
      </w:pPr>
      <w:r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E118DF">
      <w:pPr>
        <w:pStyle w:val="-12"/>
        <w:spacing w:before="120" w:after="0" w:line="276" w:lineRule="auto"/>
        <w:ind w:firstLine="0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3F40A3D5" w14:textId="77777777" w:rsidR="004B1A2B" w:rsidRDefault="004B1A2B" w:rsidP="004B1A2B">
      <w:pPr>
        <w:pStyle w:val="aa"/>
      </w:pPr>
      <w:r>
        <w:t>Общая характеристика и классификация объектов контроля природной среды.</w:t>
      </w:r>
    </w:p>
    <w:p w14:paraId="2DDA0044" w14:textId="77777777" w:rsidR="004B1A2B" w:rsidRDefault="004B1A2B" w:rsidP="004B1A2B">
      <w:pPr>
        <w:pStyle w:val="aa"/>
      </w:pPr>
      <w:r>
        <w:t>Основные стадии формирования контроля и управления качеством.</w:t>
      </w:r>
    </w:p>
    <w:p w14:paraId="1F48FB09" w14:textId="77777777" w:rsidR="004B1A2B" w:rsidRDefault="004B1A2B" w:rsidP="004B1A2B">
      <w:pPr>
        <w:pStyle w:val="aa"/>
      </w:pPr>
      <w:r>
        <w:t>Предмет и задачи метрологии.</w:t>
      </w:r>
    </w:p>
    <w:p w14:paraId="4DD342F0" w14:textId="77777777" w:rsidR="004B1A2B" w:rsidRDefault="004B1A2B" w:rsidP="004B1A2B">
      <w:pPr>
        <w:pStyle w:val="aa"/>
      </w:pPr>
      <w:r>
        <w:t>Антропогенные химическое и физическое загрязнения природной среды.</w:t>
      </w:r>
    </w:p>
    <w:p w14:paraId="3CBBD3A5" w14:textId="77777777" w:rsidR="004B1A2B" w:rsidRDefault="004B1A2B" w:rsidP="004B1A2B">
      <w:pPr>
        <w:pStyle w:val="aa"/>
      </w:pPr>
      <w:r>
        <w:t>Приборы и методы контроля веществ и материалов на основе физических полей.</w:t>
      </w:r>
    </w:p>
    <w:p w14:paraId="0CB32E59" w14:textId="77777777" w:rsidR="004B1A2B" w:rsidRDefault="004B1A2B" w:rsidP="004B1A2B">
      <w:pPr>
        <w:pStyle w:val="aa"/>
      </w:pPr>
      <w:r>
        <w:t>Методы и приборы, основанные на непосредственном измерении физических параметров смесей.</w:t>
      </w:r>
    </w:p>
    <w:p w14:paraId="5105B1CC" w14:textId="77777777" w:rsidR="004B1A2B" w:rsidRDefault="004B1A2B" w:rsidP="004B1A2B">
      <w:pPr>
        <w:pStyle w:val="aa"/>
      </w:pPr>
      <w:r>
        <w:t>Оптические методы и приборы контроля состава жидкостей.</w:t>
      </w:r>
    </w:p>
    <w:p w14:paraId="6282B20E" w14:textId="77777777" w:rsidR="004B1A2B" w:rsidRDefault="004B1A2B" w:rsidP="004B1A2B">
      <w:pPr>
        <w:pStyle w:val="aa"/>
      </w:pPr>
      <w:r>
        <w:t>Радиоизотопные аналитические методы и приборы.</w:t>
      </w:r>
    </w:p>
    <w:p w14:paraId="4AF59FD9" w14:textId="77777777" w:rsidR="004B1A2B" w:rsidRDefault="004B1A2B" w:rsidP="004B1A2B">
      <w:pPr>
        <w:pStyle w:val="aa"/>
      </w:pPr>
      <w:r>
        <w:t>Механические анализаторы жидкостей.</w:t>
      </w:r>
    </w:p>
    <w:p w14:paraId="4C021CBA" w14:textId="77777777" w:rsidR="004B1A2B" w:rsidRDefault="004B1A2B" w:rsidP="004B1A2B">
      <w:pPr>
        <w:pStyle w:val="aa"/>
      </w:pPr>
      <w:r>
        <w:t>Особенности измерения состава газов.</w:t>
      </w:r>
    </w:p>
    <w:p w14:paraId="2389AC24" w14:textId="77777777" w:rsidR="004B1A2B" w:rsidRDefault="004B1A2B" w:rsidP="004B1A2B">
      <w:pPr>
        <w:pStyle w:val="aa"/>
      </w:pPr>
      <w:r>
        <w:t>Экологический мониторинг природной среды.</w:t>
      </w:r>
    </w:p>
    <w:p w14:paraId="16775F44" w14:textId="77777777" w:rsidR="00F254E3" w:rsidRDefault="00F254E3" w:rsidP="00F254E3">
      <w:pPr>
        <w:pStyle w:val="a0"/>
        <w:numPr>
          <w:ilvl w:val="0"/>
          <w:numId w:val="0"/>
        </w:numPr>
        <w:ind w:left="709"/>
      </w:pPr>
    </w:p>
    <w:p w14:paraId="4B53C2F6" w14:textId="14B94B1C" w:rsidR="00E6283F" w:rsidRDefault="00916152" w:rsidP="00775781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584516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775781">
      <w:pPr>
        <w:pStyle w:val="aa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775781">
      <w:pPr>
        <w:pStyle w:val="aa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775781">
      <w:pPr>
        <w:pStyle w:val="aa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775781">
      <w:pPr>
        <w:pStyle w:val="aa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775781">
      <w:pPr>
        <w:pStyle w:val="a0"/>
        <w:ind w:left="0" w:firstLine="709"/>
      </w:pPr>
      <w:r w:rsidRPr="00412534"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775781">
      <w:pPr>
        <w:pStyle w:val="a0"/>
        <w:ind w:left="0" w:firstLine="709"/>
      </w:pPr>
      <w:r w:rsidRPr="00412534"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775781">
      <w:pPr>
        <w:pStyle w:val="a0"/>
        <w:ind w:left="0" w:firstLine="709"/>
      </w:pPr>
      <w:r w:rsidRPr="00412534"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775781">
      <w:pPr>
        <w:pStyle w:val="a0"/>
        <w:ind w:left="0" w:firstLine="709"/>
      </w:pPr>
      <w:r w:rsidRPr="00412534"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775781">
      <w:pPr>
        <w:pStyle w:val="a0"/>
        <w:ind w:left="0" w:firstLine="709"/>
      </w:pPr>
      <w:r w:rsidRPr="00412534"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775781">
      <w:pPr>
        <w:pStyle w:val="a0"/>
        <w:ind w:left="0" w:firstLine="709"/>
      </w:pPr>
      <w:r w:rsidRPr="00412534"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F254E3" w:rsidRDefault="00B97374" w:rsidP="00775781">
      <w:pPr>
        <w:pStyle w:val="a0"/>
        <w:numPr>
          <w:ilvl w:val="0"/>
          <w:numId w:val="0"/>
        </w:numPr>
        <w:ind w:left="709"/>
        <w:rPr>
          <w:sz w:val="10"/>
        </w:rPr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584517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775781" w:rsidRDefault="00D85705" w:rsidP="00775781">
      <w:pPr>
        <w:pStyle w:val="a0"/>
      </w:pPr>
      <w:r w:rsidRPr="00775781">
        <w:t>о предмете, методах и основных концепциях философии науки;</w:t>
      </w:r>
    </w:p>
    <w:p w14:paraId="1D7006D3" w14:textId="77777777" w:rsidR="00D85705" w:rsidRPr="00775781" w:rsidRDefault="00D85705" w:rsidP="00775781">
      <w:pPr>
        <w:pStyle w:val="a0"/>
      </w:pPr>
      <w:r w:rsidRPr="00775781"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775781" w:rsidRDefault="00D85705" w:rsidP="00775781">
      <w:pPr>
        <w:pStyle w:val="a0"/>
      </w:pPr>
      <w:r w:rsidRPr="00775781">
        <w:t>о месте и роли науки в развитии культуры и цивилизации;</w:t>
      </w:r>
    </w:p>
    <w:p w14:paraId="5D99F70B" w14:textId="77777777" w:rsidR="00D85705" w:rsidRPr="00775781" w:rsidRDefault="00D85705" w:rsidP="00775781">
      <w:pPr>
        <w:pStyle w:val="a0"/>
      </w:pPr>
      <w:r w:rsidRPr="00775781">
        <w:t>о структуре и динамике научного знания;</w:t>
      </w:r>
    </w:p>
    <w:p w14:paraId="76A73822" w14:textId="77777777" w:rsidR="00D85705" w:rsidRPr="00775781" w:rsidRDefault="00D85705" w:rsidP="00775781">
      <w:pPr>
        <w:pStyle w:val="a0"/>
      </w:pPr>
      <w:r w:rsidRPr="00775781">
        <w:t>о философских проблемах конкретных областей научного знания;</w:t>
      </w:r>
    </w:p>
    <w:p w14:paraId="08217A13" w14:textId="77777777" w:rsidR="00D85705" w:rsidRPr="00775781" w:rsidRDefault="00D85705" w:rsidP="00775781">
      <w:pPr>
        <w:pStyle w:val="a0"/>
      </w:pPr>
      <w:r w:rsidRPr="00775781">
        <w:t>о науке как социальном институте;</w:t>
      </w:r>
    </w:p>
    <w:p w14:paraId="0754D8FD" w14:textId="77777777" w:rsidR="00D85705" w:rsidRPr="00775781" w:rsidRDefault="00D85705" w:rsidP="00775781">
      <w:pPr>
        <w:pStyle w:val="a0"/>
      </w:pPr>
      <w:r w:rsidRPr="00775781"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775781" w:rsidRDefault="00D85705" w:rsidP="00775781">
      <w:pPr>
        <w:pStyle w:val="a0"/>
      </w:pPr>
      <w:r w:rsidRPr="00775781"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775781" w:rsidRDefault="00D85705" w:rsidP="00775781">
      <w:pPr>
        <w:pStyle w:val="a0"/>
      </w:pPr>
      <w:r w:rsidRPr="00775781"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775781" w:rsidRDefault="00D85705" w:rsidP="00775781">
      <w:pPr>
        <w:pStyle w:val="a0"/>
      </w:pPr>
      <w:r w:rsidRPr="00775781"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775781">
      <w:pPr>
        <w:pStyle w:val="a0"/>
      </w:pPr>
      <w:r w:rsidRPr="00775781"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</w:t>
      </w:r>
      <w:r w:rsidRPr="00412534">
        <w:t xml:space="preserve">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775781">
      <w:pPr>
        <w:pStyle w:val="a0"/>
      </w:pPr>
      <w:r w:rsidRPr="00412534"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775781">
      <w:pPr>
        <w:pStyle w:val="a0"/>
      </w:pPr>
      <w:r w:rsidRPr="00412534"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775781">
      <w:pPr>
        <w:pStyle w:val="a0"/>
      </w:pPr>
      <w:r w:rsidRPr="00412534"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775781">
      <w:pPr>
        <w:pStyle w:val="a0"/>
        <w:rPr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7770E8CF" w:rsidR="00BE6A32" w:rsidRPr="007B3C0C" w:rsidRDefault="00784874" w:rsidP="009D4855">
      <w:pPr>
        <w:pStyle w:val="20"/>
      </w:pPr>
      <w:bookmarkStart w:id="4" w:name="_Toc481584518"/>
      <w:r w:rsidRPr="00784874">
        <w:t>Б1.В.ДВ.1</w:t>
      </w:r>
      <w:r w:rsidR="00764E08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775781">
      <w:pPr>
        <w:pStyle w:val="a0"/>
      </w:pPr>
      <w:r w:rsidRPr="00966D1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775781">
      <w:pPr>
        <w:pStyle w:val="a0"/>
        <w:rPr>
          <w:rFonts w:eastAsiaTheme="minorHAnsi"/>
        </w:rPr>
      </w:pPr>
      <w:r w:rsidRPr="00966D1A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775781">
      <w:pPr>
        <w:pStyle w:val="aa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775781">
      <w:pPr>
        <w:pStyle w:val="aa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775781">
      <w:pPr>
        <w:pStyle w:val="aa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775781">
      <w:pPr>
        <w:pStyle w:val="aa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775781">
      <w:pPr>
        <w:pStyle w:val="aa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775781">
      <w:pPr>
        <w:pStyle w:val="aa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775781">
      <w:pPr>
        <w:pStyle w:val="aa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775781">
      <w:pPr>
        <w:pStyle w:val="aa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3DF9F7D6" w:rsidR="00076619" w:rsidRPr="00076619" w:rsidRDefault="00076619" w:rsidP="009D4855">
      <w:pPr>
        <w:pStyle w:val="20"/>
      </w:pPr>
      <w:bookmarkStart w:id="5" w:name="_Toc481584519"/>
      <w:r w:rsidRPr="00076619">
        <w:t>Б1.В.ДВ.1</w:t>
      </w:r>
      <w:r w:rsidR="00764E08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41498FAA" w14:textId="2FD6B095" w:rsidR="00BE6A32" w:rsidRPr="007B3C0C" w:rsidRDefault="00BE6A32" w:rsidP="00BE6A32">
      <w:pPr>
        <w:pStyle w:val="20"/>
      </w:pPr>
      <w:bookmarkStart w:id="6" w:name="_Toc481584520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B161A6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B161A6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  <w:sz w:val="12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775781">
      <w:pPr>
        <w:pStyle w:val="a0"/>
      </w:pPr>
      <w:r w:rsidRPr="00412534"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161A6" w:rsidRDefault="00B722D2" w:rsidP="00412534">
      <w:pPr>
        <w:pStyle w:val="-1"/>
        <w:numPr>
          <w:ilvl w:val="0"/>
          <w:numId w:val="0"/>
        </w:numPr>
        <w:ind w:left="284"/>
        <w:rPr>
          <w:sz w:val="10"/>
        </w:rPr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584521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775781">
      <w:pPr>
        <w:pStyle w:val="a0"/>
      </w:pPr>
      <w:r w:rsidRPr="00412534">
        <w:t>теоретические основы организации научно-исследовательской деятельности;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775781">
      <w:pPr>
        <w:pStyle w:val="a0"/>
      </w:pPr>
      <w:r w:rsidRPr="00412534"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775781">
      <w:pPr>
        <w:pStyle w:val="a0"/>
      </w:pPr>
      <w:r w:rsidRPr="00412534"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775781">
      <w:pPr>
        <w:pStyle w:val="a0"/>
      </w:pPr>
      <w:r w:rsidRPr="00412534">
        <w:t>самостоятельно осуществлять поиск информации;</w:t>
      </w:r>
    </w:p>
    <w:p w14:paraId="64B18697" w14:textId="77777777" w:rsidR="00A229BF" w:rsidRPr="00412534" w:rsidRDefault="00A229BF" w:rsidP="00775781">
      <w:pPr>
        <w:pStyle w:val="a0"/>
      </w:pPr>
      <w:r w:rsidRPr="00412534"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775781">
      <w:pPr>
        <w:pStyle w:val="a0"/>
      </w:pPr>
      <w:r w:rsidRPr="00412534">
        <w:t xml:space="preserve">составлять программу исследования; </w:t>
      </w:r>
    </w:p>
    <w:p w14:paraId="561D9353" w14:textId="77777777" w:rsidR="00A229BF" w:rsidRPr="00412534" w:rsidRDefault="00A229BF" w:rsidP="00775781">
      <w:pPr>
        <w:pStyle w:val="a0"/>
      </w:pPr>
      <w:r w:rsidRPr="00412534"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775781">
      <w:pPr>
        <w:pStyle w:val="a0"/>
      </w:pPr>
      <w:r w:rsidRPr="00412534">
        <w:t>анализировать и обобщать результаты научного исследования;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584522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775781">
      <w:pPr>
        <w:pStyle w:val="a0"/>
      </w:pPr>
      <w:r w:rsidRPr="00412534"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584523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584524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584525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584526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B161A6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B161A6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  <w:sz w:val="12"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584527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знать:  </w:t>
      </w:r>
    </w:p>
    <w:p w14:paraId="10F79878" w14:textId="77777777" w:rsidR="008709DB" w:rsidRPr="00412534" w:rsidRDefault="008709DB" w:rsidP="00775781">
      <w:pPr>
        <w:pStyle w:val="a0"/>
      </w:pPr>
      <w:r w:rsidRPr="00412534"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775781">
      <w:pPr>
        <w:pStyle w:val="a0"/>
      </w:pPr>
      <w:r w:rsidRPr="00412534"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уметь:  </w:t>
      </w:r>
    </w:p>
    <w:p w14:paraId="34458D47" w14:textId="77777777" w:rsidR="008709DB" w:rsidRPr="00412534" w:rsidRDefault="008709DB" w:rsidP="00775781">
      <w:pPr>
        <w:pStyle w:val="a0"/>
      </w:pPr>
      <w:r w:rsidRPr="00412534"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владеть: </w:t>
      </w:r>
    </w:p>
    <w:p w14:paraId="41745E8B" w14:textId="73BBBFEE" w:rsidR="008709DB" w:rsidRPr="00412534" w:rsidRDefault="008709DB" w:rsidP="00775781">
      <w:pPr>
        <w:pStyle w:val="a0"/>
        <w:rPr>
          <w:rFonts w:eastAsia="Times New Roman"/>
        </w:rPr>
      </w:pPr>
      <w:r w:rsidRPr="00412534"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2621F" w14:textId="77777777" w:rsidR="00086C54" w:rsidRDefault="00086C54" w:rsidP="00BE6A32">
      <w:r>
        <w:separator/>
      </w:r>
    </w:p>
  </w:endnote>
  <w:endnote w:type="continuationSeparator" w:id="0">
    <w:p w14:paraId="6DABEC3E" w14:textId="77777777" w:rsidR="00086C54" w:rsidRDefault="00086C54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5A50AAC" w14:textId="77777777" w:rsidR="00A75799" w:rsidRDefault="00A75799" w:rsidP="00BE6A3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86C54">
      <w:rPr>
        <w:rStyle w:val="af2"/>
        <w:noProof/>
      </w:rPr>
      <w:t>1</w:t>
    </w:r>
    <w:r>
      <w:rPr>
        <w:rStyle w:val="af2"/>
      </w:rPr>
      <w:fldChar w:fldCharType="end"/>
    </w:r>
  </w:p>
  <w:p w14:paraId="509502FA" w14:textId="77777777" w:rsidR="00A75799" w:rsidRDefault="00A75799" w:rsidP="00BE6A3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9F3F8" w14:textId="77777777" w:rsidR="00086C54" w:rsidRDefault="00086C54" w:rsidP="00BE6A32">
      <w:r>
        <w:separator/>
      </w:r>
    </w:p>
  </w:footnote>
  <w:footnote w:type="continuationSeparator" w:id="0">
    <w:p w14:paraId="758F06F7" w14:textId="77777777" w:rsidR="00086C54" w:rsidRDefault="00086C54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DD"/>
    <w:multiLevelType w:val="hybridMultilevel"/>
    <w:tmpl w:val="C27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4CF059E"/>
    <w:multiLevelType w:val="hybridMultilevel"/>
    <w:tmpl w:val="502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E23"/>
    <w:multiLevelType w:val="hybridMultilevel"/>
    <w:tmpl w:val="A7B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1A4F"/>
    <w:multiLevelType w:val="hybridMultilevel"/>
    <w:tmpl w:val="F3E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BC1C1E"/>
    <w:multiLevelType w:val="hybridMultilevel"/>
    <w:tmpl w:val="0396DBBC"/>
    <w:lvl w:ilvl="0" w:tplc="88EADB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04E32"/>
    <w:multiLevelType w:val="hybridMultilevel"/>
    <w:tmpl w:val="5DACE232"/>
    <w:lvl w:ilvl="0" w:tplc="5488561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76619"/>
    <w:rsid w:val="00086C54"/>
    <w:rsid w:val="000B68C5"/>
    <w:rsid w:val="000C6A47"/>
    <w:rsid w:val="000D4632"/>
    <w:rsid w:val="0010325C"/>
    <w:rsid w:val="001042D4"/>
    <w:rsid w:val="001225EB"/>
    <w:rsid w:val="001545E3"/>
    <w:rsid w:val="00155EEA"/>
    <w:rsid w:val="00194E92"/>
    <w:rsid w:val="001A4238"/>
    <w:rsid w:val="001C1433"/>
    <w:rsid w:val="001C3102"/>
    <w:rsid w:val="001C7F73"/>
    <w:rsid w:val="00236728"/>
    <w:rsid w:val="002A4BF0"/>
    <w:rsid w:val="002B1D2E"/>
    <w:rsid w:val="002D0789"/>
    <w:rsid w:val="002D4700"/>
    <w:rsid w:val="00310E8B"/>
    <w:rsid w:val="003A1CD7"/>
    <w:rsid w:val="003A578F"/>
    <w:rsid w:val="003E12A1"/>
    <w:rsid w:val="003E2AA2"/>
    <w:rsid w:val="00412534"/>
    <w:rsid w:val="004745E8"/>
    <w:rsid w:val="00487D87"/>
    <w:rsid w:val="00491142"/>
    <w:rsid w:val="00495165"/>
    <w:rsid w:val="004B1A2B"/>
    <w:rsid w:val="004D1B7F"/>
    <w:rsid w:val="00565E4E"/>
    <w:rsid w:val="00574FA6"/>
    <w:rsid w:val="00575B5C"/>
    <w:rsid w:val="005C56B7"/>
    <w:rsid w:val="00616CC7"/>
    <w:rsid w:val="006C2EDE"/>
    <w:rsid w:val="006C7D3E"/>
    <w:rsid w:val="00747C66"/>
    <w:rsid w:val="00750D32"/>
    <w:rsid w:val="0075312D"/>
    <w:rsid w:val="00764E08"/>
    <w:rsid w:val="00775781"/>
    <w:rsid w:val="00776709"/>
    <w:rsid w:val="00784874"/>
    <w:rsid w:val="007A2527"/>
    <w:rsid w:val="007A798A"/>
    <w:rsid w:val="007B152B"/>
    <w:rsid w:val="007C5729"/>
    <w:rsid w:val="008213C9"/>
    <w:rsid w:val="0083300D"/>
    <w:rsid w:val="008709DB"/>
    <w:rsid w:val="008C2101"/>
    <w:rsid w:val="008C43FD"/>
    <w:rsid w:val="008C484A"/>
    <w:rsid w:val="00912AD7"/>
    <w:rsid w:val="00916152"/>
    <w:rsid w:val="00966D1A"/>
    <w:rsid w:val="009D4855"/>
    <w:rsid w:val="009E192F"/>
    <w:rsid w:val="009F58FD"/>
    <w:rsid w:val="00A11E5F"/>
    <w:rsid w:val="00A1378E"/>
    <w:rsid w:val="00A14CD7"/>
    <w:rsid w:val="00A229BF"/>
    <w:rsid w:val="00A75799"/>
    <w:rsid w:val="00A974FE"/>
    <w:rsid w:val="00AA1BD2"/>
    <w:rsid w:val="00AB4C3E"/>
    <w:rsid w:val="00AE015A"/>
    <w:rsid w:val="00AF7B18"/>
    <w:rsid w:val="00B161A6"/>
    <w:rsid w:val="00B21592"/>
    <w:rsid w:val="00B42590"/>
    <w:rsid w:val="00B50A71"/>
    <w:rsid w:val="00B722D2"/>
    <w:rsid w:val="00B73B54"/>
    <w:rsid w:val="00B97374"/>
    <w:rsid w:val="00BA6727"/>
    <w:rsid w:val="00BC0F40"/>
    <w:rsid w:val="00BE5318"/>
    <w:rsid w:val="00BE6A32"/>
    <w:rsid w:val="00C66472"/>
    <w:rsid w:val="00C724B5"/>
    <w:rsid w:val="00CA7EAF"/>
    <w:rsid w:val="00CC18AE"/>
    <w:rsid w:val="00CC50E2"/>
    <w:rsid w:val="00D1628D"/>
    <w:rsid w:val="00D30B08"/>
    <w:rsid w:val="00D31882"/>
    <w:rsid w:val="00D42F24"/>
    <w:rsid w:val="00D85705"/>
    <w:rsid w:val="00D9046A"/>
    <w:rsid w:val="00DA5707"/>
    <w:rsid w:val="00DB4555"/>
    <w:rsid w:val="00DC3350"/>
    <w:rsid w:val="00DC69C2"/>
    <w:rsid w:val="00DE612B"/>
    <w:rsid w:val="00E118DF"/>
    <w:rsid w:val="00E20E92"/>
    <w:rsid w:val="00E452F7"/>
    <w:rsid w:val="00E5340F"/>
    <w:rsid w:val="00E6283F"/>
    <w:rsid w:val="00EC569B"/>
    <w:rsid w:val="00F12F77"/>
    <w:rsid w:val="00F254E3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DB76E-7A95-4854-9EF3-182B415E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6384</Words>
  <Characters>36395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«Экология»</vt:lpstr>
      <vt:lpstr>    Б1.Б.1 «Иностранный язык»</vt:lpstr>
      <vt:lpstr>    Б1.Б.2. «История и философия науки»</vt:lpstr>
      <vt:lpstr>    Б1.В.ДВ.1.1 «Иностранная научная речь в узкой специальности»</vt:lpstr>
      <vt:lpstr>    Б1.В.ДВ.1.2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2017-05-03T07:17:00Z</dcterms:created>
  <dcterms:modified xsi:type="dcterms:W3CDTF">2017-05-03T07:19:00Z</dcterms:modified>
</cp:coreProperties>
</file>